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57" w:rsidRPr="00023075" w:rsidRDefault="00C64157">
      <w:pPr>
        <w:wordWrap w:val="0"/>
        <w:rPr>
          <w:sz w:val="18"/>
          <w:szCs w:val="18"/>
        </w:rPr>
      </w:pPr>
      <w:bookmarkStart w:id="0" w:name="_GoBack"/>
      <w:bookmarkEnd w:id="0"/>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122"/>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014022" w:rsidP="00512642">
            <w:pPr>
              <w:wordWrap w:val="0"/>
              <w:rPr>
                <w:sz w:val="18"/>
                <w:szCs w:val="18"/>
              </w:rPr>
            </w:pPr>
            <w:r w:rsidRPr="00023075">
              <w:rPr>
                <w:rFonts w:hint="eastAsia"/>
                <w:sz w:val="18"/>
                <w:szCs w:val="18"/>
              </w:rPr>
              <w:t xml:space="preserve">　　　　　　　　　　　　　</w:t>
            </w:r>
            <w:r w:rsidR="001158E4">
              <w:rPr>
                <w:rFonts w:hint="eastAsia"/>
                <w:sz w:val="18"/>
                <w:szCs w:val="18"/>
              </w:rPr>
              <w:t xml:space="preserve">　</w:t>
            </w:r>
            <w:r w:rsidRPr="00023075">
              <w:rPr>
                <w:rFonts w:hint="eastAsia"/>
                <w:sz w:val="18"/>
                <w:szCs w:val="18"/>
              </w:rPr>
              <w:t xml:space="preserve">　殿</w:t>
            </w:r>
          </w:p>
        </w:tc>
      </w:tr>
      <w:tr w:rsidR="00014022" w:rsidRPr="00023075" w:rsidTr="00F8736F">
        <w:trPr>
          <w:cantSplit/>
          <w:trHeight w:val="817"/>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1" w:name="mybmk"/>
      <w:bookmarkEnd w:id="1"/>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6F4CB5">
          <w:pgSz w:w="11907" w:h="16840" w:code="9"/>
          <w:pgMar w:top="284" w:right="567" w:bottom="567" w:left="567" w:header="284" w:footer="284" w:gutter="0"/>
          <w:cols w:space="425"/>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FF0904"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3360" behindDoc="0" locked="0" layoutInCell="0" allowOverlap="1">
                <wp:simplePos x="0" y="0"/>
                <wp:positionH relativeFrom="page">
                  <wp:posOffset>6282055</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F18D" id="Oval 12" o:spid="_x0000_s1026" style="position:absolute;left:0;text-align:left;margin-left:494.65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2336" behindDoc="0" locked="0" layoutInCell="0" allowOverlap="1">
                <wp:simplePos x="0" y="0"/>
                <wp:positionH relativeFrom="page">
                  <wp:posOffset>2512695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343E3" id="Oval 10" o:spid="_x0000_s1026" style="position:absolute;left:0;text-align:left;margin-left:197.8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r>
        <w:rPr>
          <w:rFonts w:hint="eastAsia"/>
        </w:rPr>
        <w:t xml:space="preserve">　</w:t>
      </w:r>
      <w:r>
        <w:t>8</w:t>
      </w:r>
      <w:r>
        <w:rPr>
          <w:rFonts w:hint="eastAsia"/>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lastRenderedPageBreak/>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F20" w:rsidRDefault="009A7F20">
      <w:r>
        <w:separator/>
      </w:r>
    </w:p>
  </w:endnote>
  <w:endnote w:type="continuationSeparator" w:id="0">
    <w:p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F20" w:rsidRDefault="009A7F20">
      <w:r>
        <w:separator/>
      </w:r>
    </w:p>
  </w:footnote>
  <w:footnote w:type="continuationSeparator" w:id="0">
    <w:p w:rsidR="009A7F20" w:rsidRDefault="009A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21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C6F5A"/>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EE6"/>
    <w:rsid w:val="003979E9"/>
    <w:rsid w:val="003D039C"/>
    <w:rsid w:val="003F7667"/>
    <w:rsid w:val="00402218"/>
    <w:rsid w:val="00435119"/>
    <w:rsid w:val="0045354F"/>
    <w:rsid w:val="00465B6D"/>
    <w:rsid w:val="00474B69"/>
    <w:rsid w:val="00474DC5"/>
    <w:rsid w:val="004930C8"/>
    <w:rsid w:val="004F5133"/>
    <w:rsid w:val="00512642"/>
    <w:rsid w:val="0057603C"/>
    <w:rsid w:val="0058119B"/>
    <w:rsid w:val="005C5123"/>
    <w:rsid w:val="005F52F1"/>
    <w:rsid w:val="00604938"/>
    <w:rsid w:val="00647683"/>
    <w:rsid w:val="00650078"/>
    <w:rsid w:val="00651799"/>
    <w:rsid w:val="00682D54"/>
    <w:rsid w:val="006843C7"/>
    <w:rsid w:val="006F4CB5"/>
    <w:rsid w:val="007378D9"/>
    <w:rsid w:val="00752AF1"/>
    <w:rsid w:val="007D6800"/>
    <w:rsid w:val="00826CE8"/>
    <w:rsid w:val="00867DBF"/>
    <w:rsid w:val="00874222"/>
    <w:rsid w:val="00874CCC"/>
    <w:rsid w:val="008A24C2"/>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C10D58"/>
    <w:rsid w:val="00C64157"/>
    <w:rsid w:val="00C64A05"/>
    <w:rsid w:val="00D21378"/>
    <w:rsid w:val="00D42FBF"/>
    <w:rsid w:val="00D81592"/>
    <w:rsid w:val="00DA1A9D"/>
    <w:rsid w:val="00DB704A"/>
    <w:rsid w:val="00E1387D"/>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F13A-800D-42FF-B516-43657139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2746</Words>
  <Characters>573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柿沢 玲奈</cp:lastModifiedBy>
  <cp:revision>2</cp:revision>
  <cp:lastPrinted>2021-03-18T05:26:00Z</cp:lastPrinted>
  <dcterms:created xsi:type="dcterms:W3CDTF">2022-07-10T01:38:00Z</dcterms:created>
  <dcterms:modified xsi:type="dcterms:W3CDTF">2022-07-10T01:38:00Z</dcterms:modified>
</cp:coreProperties>
</file>